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charts/chart1.xml" ContentType="application/vnd.openxmlformats-officedocument.drawingml.chart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2"/>
        <w:widowControl w:val="false"/>
        <w:spacing w:lineRule="auto" w:line="276"/>
        <w:ind w:firstLine="425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hd w:fill="auto" w:val="clear"/>
        </w:rPr>
        <w:t>В январе-апреле 2024 года в центры занятости населения поступило 8,3 тыс. заявлений граждан о предоставлении государственных услуг с использованием Единой цифровой платформы в сфере занятости и трудовых отношений «Работа в России». За содействием в поиске подходящей работы обратилось</w:t>
      </w:r>
      <w:r>
        <w:rPr>
          <w:rFonts w:ascii="Times New Roman" w:hAnsi="Times New Roman"/>
          <w:color w:val="000000"/>
          <w:szCs w:val="25"/>
          <w:shd w:fill="auto" w:val="clear"/>
        </w:rPr>
        <w:t xml:space="preserve"> 4,2 тыс. человек (с учетом несовершеннолетних граждан в возрасте от 14 до 18 лет, обратившихся в целях временного трудоустройства в свободное от учебы время).</w:t>
      </w:r>
    </w:p>
    <w:p>
      <w:pPr>
        <w:pStyle w:val="BodyTextIndent2"/>
        <w:widowControl w:val="false"/>
        <w:spacing w:lineRule="auto" w:line="276"/>
        <w:ind w:firstLine="425"/>
        <w:rPr>
          <w:highlight w:val="none"/>
          <w:shd w:fill="auto" w:val="clear"/>
        </w:rPr>
      </w:pPr>
      <w:r>
        <w:rPr>
          <w:rFonts w:ascii="Times New Roman" w:hAnsi="Times New Roman"/>
          <w:shd w:fill="auto" w:val="clear"/>
        </w:rPr>
        <w:t>Статус безработного получили 1,1 тыс. граждан, что на 22% меньше, чем в январе-апреле 2023 года.</w:t>
      </w:r>
    </w:p>
    <w:p>
      <w:pPr>
        <w:pStyle w:val="BodyTextIndent"/>
        <w:spacing w:lineRule="auto" w:line="276"/>
        <w:ind w:firstLine="425"/>
        <w:rPr>
          <w:highlight w:val="none"/>
          <w:shd w:fill="auto" w:val="clear"/>
        </w:rPr>
      </w:pPr>
      <w:r>
        <w:rPr>
          <w:rFonts w:ascii="Times New Roman" w:hAnsi="Times New Roman"/>
          <w:sz w:val="24"/>
          <w:shd w:fill="auto" w:val="clear"/>
        </w:rPr>
        <w:t xml:space="preserve">По состоянию на 1 мая 2024 года на учете в органах службы занятости состояло 1,8 тыс. ищущих работу граждан, из них 943 безработных, что </w:t>
      </w:r>
      <w:r>
        <w:rPr>
          <w:rFonts w:ascii="Times New Roman" w:hAnsi="Times New Roman"/>
          <w:color w:val="000000"/>
          <w:sz w:val="24"/>
          <w:shd w:fill="auto" w:val="clear"/>
        </w:rPr>
        <w:t>на 366 человек или на 28% меньше, чем на 01.05.2023 года</w:t>
      </w:r>
      <w:r>
        <w:rPr>
          <w:rFonts w:ascii="Times New Roman" w:hAnsi="Times New Roman"/>
          <w:sz w:val="24"/>
          <w:shd w:fill="auto" w:val="clear"/>
        </w:rPr>
        <w:t>.</w:t>
      </w:r>
    </w:p>
    <w:p>
      <w:pPr>
        <w:pStyle w:val="BodyTextIndent"/>
        <w:spacing w:lineRule="auto" w:line="276" w:before="120" w:after="0"/>
        <w:ind w:firstLine="539"/>
        <w:jc w:val="center"/>
        <w:rPr>
          <w:sz w:val="16"/>
        </w:rPr>
      </w:pPr>
      <w:r>
        <w:rPr>
          <w:rFonts w:cs="Arial" w:ascii="Arial" w:hAnsi="Arial"/>
          <w:b/>
          <w:i/>
          <w:smallCaps/>
          <w:sz w:val="16"/>
          <w:szCs w:val="16"/>
          <w:shd w:fill="auto" w:val="clear"/>
        </w:rPr>
        <w:t xml:space="preserve">ЧИСЛЕННОСТЬ ИЩУЩИХ РАБОТУ ГРАЖДАН И ЗАРЕГИСТРИРОВАННЫХ БЕЗРАБОТНЫХ </w:t>
      </w:r>
      <w:r>
        <w:rPr>
          <w:rFonts w:cs="Arial" w:ascii="Arial" w:hAnsi="Arial"/>
          <w:b/>
          <w:i/>
          <w:sz w:val="16"/>
          <w:szCs w:val="16"/>
          <w:shd w:fill="auto" w:val="clear"/>
        </w:rPr>
        <w:t>В САХАЛИНСКОЙ ОБЛАСТИ</w:t>
      </w:r>
    </w:p>
    <w:p>
      <w:pPr>
        <w:pStyle w:val="BodyTextIndent"/>
        <w:spacing w:lineRule="auto" w:line="276"/>
        <w:jc w:val="center"/>
        <w:rPr>
          <w:sz w:val="16"/>
        </w:rPr>
      </w:pPr>
      <w:r>
        <w:rPr>
          <w:rFonts w:cs="Arial" w:ascii="Arial" w:hAnsi="Arial"/>
          <w:i/>
          <w:color w:val="000000"/>
          <w:sz w:val="16"/>
          <w:szCs w:val="25"/>
          <w:shd w:fill="auto" w:val="clear"/>
        </w:rPr>
        <w:t>(по состоянию на 01.05.2023г., 01.05.2024г.)</w:t>
      </w:r>
    </w:p>
    <w:p>
      <w:pPr>
        <w:pStyle w:val="Normal"/>
        <w:widowControl w:val="false"/>
        <w:spacing w:lineRule="auto" w:line="276"/>
        <w:ind w:firstLine="425"/>
        <w:jc w:val="both"/>
        <w:rPr>
          <w:highlight w:val="none"/>
          <w:shd w:fill="auto" w:val="clear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684395" cy="1936750"/>
            <wp:effectExtent l="0" t="0" r="0" b="0"/>
            <wp:wrapSquare wrapText="bothSides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2645" t="0" r="1037" b="4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395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 w:val="false"/>
          <w:iCs w:val="false"/>
          <w:shd w:fill="auto" w:val="clear"/>
        </w:rPr>
        <w:t>В</w:t>
      </w:r>
      <w:r>
        <w:rPr>
          <w:rFonts w:ascii="Times New Roman" w:hAnsi="Times New Roman"/>
          <w:i w:val="false"/>
          <w:iCs w:val="false"/>
          <w:sz w:val="24"/>
          <w:szCs w:val="24"/>
          <w:shd w:fill="auto" w:val="clear"/>
        </w:rPr>
        <w:t xml:space="preserve"> составе безработных 49,6% – женщины, 26,9% – жители сельской местности, 16,5% – молодежь в возрасте 16-29 лет, 16,2% – длительное время не работающие (более года), 10,2% – граждане предпенсионного возраста,  6,4% – инвалиды, 3,9% – уволенные в связи с ликвидацией  организации либо сокращением численности или штата. </w:t>
      </w:r>
    </w:p>
    <w:p>
      <w:pPr>
        <w:pStyle w:val="Normal"/>
        <w:widowControl w:val="false"/>
        <w:spacing w:lineRule="auto" w:line="276"/>
        <w:ind w:firstLine="425"/>
        <w:jc w:val="both"/>
        <w:rPr>
          <w:rFonts w:ascii="Times New Roman" w:hAnsi="Times New Roman" w:cs="Arial"/>
          <w:bCs w:val="false"/>
          <w:i w:val="false"/>
          <w:i w:val="false"/>
          <w:spacing w:val="0"/>
          <w:sz w:val="24"/>
          <w:szCs w:val="24"/>
          <w:highlight w:val="none"/>
          <w:shd w:fill="auto" w:val="clear"/>
        </w:rPr>
      </w:pPr>
      <w:r>
        <w:rPr>
          <w:rFonts w:cs="Arial" w:ascii="Times New Roman" w:hAnsi="Times New Roman"/>
          <w:i w:val="false"/>
          <w:iCs w:val="false"/>
          <w:spacing w:val="0"/>
          <w:sz w:val="24"/>
          <w:szCs w:val="24"/>
          <w:shd w:fill="auto" w:val="clear"/>
        </w:rPr>
        <w:t>Снижение численности безработных к соответствующему периоду  прошлого года отмечается в 12 городских округах области, наибольшее в г. Южно-Сахалинске (на 86 чел.), Охинском (на 67 чел.), Поронайском (на 65 чел.), Долинском и Макаровском (на 39 чел.).</w:t>
      </w:r>
    </w:p>
    <w:p>
      <w:pPr>
        <w:pStyle w:val="Normal"/>
        <w:widowControl w:val="false"/>
        <w:spacing w:lineRule="auto" w:line="276"/>
        <w:ind w:firstLine="425"/>
        <w:jc w:val="both"/>
        <w:rPr>
          <w:rFonts w:ascii="Times New Roman" w:hAnsi="Times New Roman" w:cs="Arial"/>
          <w:bCs w:val="false"/>
          <w:i w:val="false"/>
          <w:i w:val="false"/>
          <w:spacing w:val="0"/>
          <w:sz w:val="24"/>
          <w:szCs w:val="24"/>
          <w:highlight w:val="none"/>
          <w:shd w:fill="auto" w:val="clear"/>
        </w:rPr>
      </w:pPr>
      <w:r>
        <w:rPr>
          <w:rFonts w:cs="Arial" w:ascii="Times New Roman" w:hAnsi="Times New Roman"/>
          <w:i w:val="false"/>
          <w:iCs/>
          <w:sz w:val="24"/>
          <w:shd w:fill="auto" w:val="clear"/>
        </w:rPr>
        <w:t>В целях информирования населения об имеющихся вакансиях и возможностях трудоустройства проведено 175 ярмарок вакансий, в которых  участвовало 628 человек,  из них  29% трудоустроены на посто-янные и временные рабочие места (с учетом несовершеннолетних).</w:t>
      </w:r>
    </w:p>
    <w:p>
      <w:pPr>
        <w:pStyle w:val="Normal"/>
        <w:widowControl w:val="false"/>
        <w:spacing w:lineRule="auto" w:line="276" w:before="0" w:after="0"/>
        <w:ind w:firstLine="397" w:left="0" w:right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hd w:fill="auto" w:val="clear"/>
        </w:rPr>
        <w:t>Содействие в переезде (переселении) в другую местность для трудоустройства оказано 22 безработным и ищущим работу гражданам из 11 муниципальных образований области.</w:t>
      </w:r>
    </w:p>
    <w:p>
      <w:pPr>
        <w:pStyle w:val="Normal"/>
        <w:widowControl w:val="false"/>
        <w:spacing w:lineRule="auto" w:line="276" w:before="0" w:after="0"/>
        <w:ind w:firstLine="397" w:left="0" w:right="0"/>
        <w:jc w:val="both"/>
        <w:rPr>
          <w:highlight w:val="none"/>
          <w:shd w:fill="auto" w:val="clear"/>
        </w:rPr>
      </w:pPr>
      <w:r>
        <w:rPr>
          <w:rFonts w:cs="Arial" w:ascii="Times New Roman" w:hAnsi="Times New Roman"/>
          <w:iCs/>
          <w:sz w:val="24"/>
          <w:shd w:fill="auto" w:val="clear"/>
        </w:rPr>
        <w:t>В целях восполнения трудовых ресурсов в рамках подпрограммы «Оказание содействия добровольному переселению в Сахалинскую область соотечественников, проживающих за рубежом» в январе-апреле 2024 года по данным УВМ УМВД России по Сахалинской области прибыло и поставлено на учет 12 соотечественников и члены их семей, в т.ч. 10 – трудоспособного возраста. По странам исхода: Таджикистан – 5 человек, Киргизия – 6 человек, Армения – 1 человек.</w:t>
      </w:r>
    </w:p>
    <w:p>
      <w:pPr>
        <w:pStyle w:val="Normal"/>
        <w:widowControl w:val="false"/>
        <w:spacing w:lineRule="auto" w:line="276" w:before="0" w:after="0"/>
        <w:ind w:firstLine="397" w:left="0" w:right="0"/>
        <w:jc w:val="both"/>
        <w:rPr>
          <w:highlight w:val="none"/>
          <w:shd w:fill="auto" w:val="clear"/>
        </w:rPr>
      </w:pPr>
      <w:r>
        <w:rPr>
          <w:rFonts w:cs="Arial" w:ascii="Times New Roman" w:hAnsi="Times New Roman"/>
          <w:iCs/>
          <w:sz w:val="24"/>
          <w:shd w:fill="auto" w:val="clear"/>
        </w:rPr>
        <w:t xml:space="preserve">По программе повышения мобильности трудовых ресурсов запланировано привлечение и трудоустройство 18 специалистов из других регионов страны. На 1 мая 2024 года привлечено 3 специалиста из Республики Башкортостан, Забайкальского и Пермского краев.  </w:t>
      </w:r>
    </w:p>
    <w:p>
      <w:pPr>
        <w:pStyle w:val="Normal"/>
        <w:widowControl w:val="false"/>
        <w:spacing w:lineRule="auto" w:line="276" w:before="0" w:after="0"/>
        <w:ind w:firstLine="397" w:left="0" w:right="0"/>
        <w:jc w:val="both"/>
        <w:rPr>
          <w:highlight w:val="none"/>
          <w:shd w:fill="auto" w:val="clear"/>
        </w:rPr>
      </w:pPr>
      <w:r>
        <w:rPr>
          <w:rFonts w:cs="Arial" w:ascii="Times New Roman" w:hAnsi="Times New Roman"/>
          <w:iCs/>
          <w:sz w:val="24"/>
          <w:shd w:fill="auto" w:val="clear"/>
        </w:rPr>
        <w:t>В рамках государственной программы «Социально-экономическое развитие Курильских островов (Сахалинская область)» по состоянию на 1 мая 2024 года выплаты стимулирующего характера предоставлены 6 квалифицированным специалистам, трудоустроенным в учреждения социальной сферы.</w:t>
      </w:r>
    </w:p>
    <w:p>
      <w:pPr>
        <w:pStyle w:val="Normal"/>
        <w:widowControl w:val="false"/>
        <w:spacing w:lineRule="exact" w:line="2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spacing w:lineRule="exact" w:line="2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spacing w:lineRule="exact" w:line="2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spacing w:lineRule="exact" w:line="280"/>
        <w:jc w:val="both"/>
        <w:rPr>
          <w:rFonts w:ascii="Times New Roman" w:hAnsi="Times New Roman"/>
        </w:rPr>
      </w:pPr>
      <w:r>
        <w:rPr>
          <w:rFonts w:ascii="Times New Roman" w:hAnsi="Times New Roman"/>
          <w:shd w:fill="auto" w:val="clear"/>
        </w:rPr>
        <w:t xml:space="preserve">Руководитель агентства по труду и </w:t>
      </w:r>
    </w:p>
    <w:p>
      <w:pPr>
        <w:pStyle w:val="Normal"/>
        <w:widowControl w:val="false"/>
        <w:spacing w:lineRule="exact" w:line="280"/>
        <w:jc w:val="both"/>
        <w:rPr/>
      </w:pPr>
      <w:r>
        <w:rPr>
          <w:rFonts w:ascii="Times New Roman" w:hAnsi="Times New Roman"/>
          <w:shd w:fill="auto" w:val="clear"/>
        </w:rPr>
        <w:t>занятости населения Сахалинской области                                     Т.Г. Бабич</w:t>
      </w:r>
    </w:p>
    <w:p>
      <w:pPr>
        <w:pStyle w:val="Normal"/>
        <w:widowControl w:val="false"/>
        <w:spacing w:lineRule="exact" w:line="280"/>
        <w:jc w:val="both"/>
        <w:rPr>
          <w:rFonts w:ascii="Arial" w:hAnsi="Arial" w:cs="Arial"/>
          <w:bCs/>
          <w:i/>
          <w:i/>
          <w:sz w:val="24"/>
          <w:szCs w:val="24"/>
        </w:rPr>
      </w:pPr>
      <w:r>
        <w:rPr>
          <w:rFonts w:cs="Arial" w:ascii="Arial" w:hAnsi="Arial"/>
          <w:bCs/>
          <w:i/>
          <w:sz w:val="24"/>
          <w:szCs w:val="24"/>
        </w:rPr>
      </w:r>
    </w:p>
    <w:p>
      <w:pPr>
        <w:pStyle w:val="Normal"/>
        <w:widowControl w:val="false"/>
        <w:spacing w:lineRule="exact" w:line="280"/>
        <w:jc w:val="both"/>
        <w:rPr>
          <w:rFonts w:ascii="Arial" w:hAnsi="Arial" w:cs="Arial"/>
          <w:i/>
          <w:i/>
          <w:iCs/>
          <w:sz w:val="24"/>
        </w:rPr>
      </w:pPr>
      <w:r>
        <w:rPr>
          <w:rFonts w:cs="Arial" w:ascii="Arial" w:hAnsi="Arial"/>
          <w:i/>
          <w:iCs/>
          <w:sz w:val="24"/>
        </w:rPr>
      </w:r>
    </w:p>
    <w:p>
      <w:pPr>
        <w:pStyle w:val="Normal"/>
        <w:widowControl w:val="false"/>
        <w:spacing w:lineRule="exact" w:line="280"/>
        <w:jc w:val="both"/>
        <w:rPr>
          <w:rFonts w:ascii="Arial" w:hAnsi="Arial" w:cs="Arial"/>
          <w:i/>
          <w:i/>
          <w:iCs/>
          <w:sz w:val="24"/>
        </w:rPr>
      </w:pPr>
      <w:r>
        <w:rPr>
          <w:rFonts w:cs="Arial" w:ascii="Arial" w:hAnsi="Arial"/>
          <w:i/>
          <w:iCs/>
          <w:sz w:val="24"/>
        </w:rPr>
      </w:r>
    </w:p>
    <w:p>
      <w:pPr>
        <w:pStyle w:val="Normal"/>
        <w:widowControl w:val="false"/>
        <w:spacing w:lineRule="exact" w:line="280"/>
        <w:jc w:val="both"/>
        <w:rPr>
          <w:rFonts w:ascii="Arial" w:hAnsi="Arial" w:cs="Arial"/>
          <w:i/>
          <w:i/>
          <w:iCs/>
          <w:sz w:val="24"/>
        </w:rPr>
      </w:pPr>
      <w:r>
        <w:rPr>
          <w:rFonts w:cs="Arial" w:ascii="Arial" w:hAnsi="Arial"/>
          <w:i/>
          <w:iCs/>
          <w:sz w:val="24"/>
        </w:rPr>
      </w:r>
    </w:p>
    <w:p>
      <w:pPr>
        <w:pStyle w:val="Normal"/>
        <w:widowControl w:val="false"/>
        <w:spacing w:lineRule="exact" w:line="280"/>
        <w:jc w:val="both"/>
        <w:rPr>
          <w:rFonts w:ascii="Arial" w:hAnsi="Arial" w:cs="Arial"/>
          <w:i/>
          <w:i/>
          <w:iCs/>
          <w:sz w:val="24"/>
        </w:rPr>
      </w:pPr>
      <w:r>
        <w:rPr>
          <w:rFonts w:cs="Arial" w:ascii="Arial" w:hAnsi="Arial"/>
          <w:i/>
          <w:iCs/>
          <w:sz w:val="24"/>
        </w:rPr>
      </w:r>
    </w:p>
    <w:p>
      <w:pPr>
        <w:pStyle w:val="Normal"/>
        <w:widowControl w:val="false"/>
        <w:spacing w:lineRule="exact" w:line="280"/>
        <w:jc w:val="both"/>
        <w:rPr>
          <w:rFonts w:ascii="Arial" w:hAnsi="Arial" w:cs="Arial"/>
          <w:i/>
          <w:i/>
          <w:iCs/>
          <w:sz w:val="24"/>
        </w:rPr>
      </w:pPr>
      <w:r>
        <w:rPr>
          <w:rFonts w:cs="Arial" w:ascii="Arial" w:hAnsi="Arial"/>
          <w:i/>
          <w:iCs/>
          <w:sz w:val="24"/>
        </w:rPr>
      </w:r>
    </w:p>
    <w:p>
      <w:pPr>
        <w:pStyle w:val="Normal"/>
        <w:widowControl w:val="false"/>
        <w:spacing w:lineRule="exact" w:line="280"/>
        <w:jc w:val="both"/>
        <w:rPr>
          <w:rFonts w:ascii="Arial" w:hAnsi="Arial" w:cs="Arial"/>
          <w:i/>
          <w:i/>
          <w:iCs/>
          <w:sz w:val="24"/>
        </w:rPr>
      </w:pPr>
      <w:r>
        <w:rPr>
          <w:rFonts w:cs="Arial" w:ascii="Arial" w:hAnsi="Arial"/>
          <w:i/>
          <w:iCs/>
          <w:sz w:val="24"/>
        </w:rPr>
      </w:r>
    </w:p>
    <w:p>
      <w:pPr>
        <w:pStyle w:val="Normal"/>
        <w:widowControl w:val="false"/>
        <w:spacing w:lineRule="exact" w:line="280"/>
        <w:jc w:val="both"/>
        <w:rPr>
          <w:rFonts w:ascii="Arial" w:hAnsi="Arial" w:cs="Arial"/>
          <w:i/>
          <w:i/>
          <w:iCs/>
          <w:sz w:val="24"/>
        </w:rPr>
      </w:pPr>
      <w:r>
        <w:rPr>
          <w:rFonts w:cs="Arial" w:ascii="Times New Roman" w:hAnsi="Times New Roman"/>
          <w:i w:val="false"/>
          <w:iCs w:val="false"/>
          <w:sz w:val="16"/>
          <w:szCs w:val="16"/>
          <w:shd w:fill="auto" w:val="clear"/>
        </w:rPr>
        <w:t>Мишина Ю.В., 8 (4242) 672546</w:t>
      </w:r>
    </w:p>
    <w:p>
      <w:pPr>
        <w:pStyle w:val="Normal"/>
        <w:widowControl w:val="false"/>
        <w:spacing w:lineRule="auto" w:line="276"/>
        <w:ind w:hanging="0"/>
        <w:jc w:val="both"/>
        <w:rPr/>
      </w:pPr>
      <w:r>
        <w:rPr>
          <w:rFonts w:cs="Arial" w:ascii="Times New Roman" w:hAnsi="Times New Roman"/>
          <w:i w:val="false"/>
          <w:iCs w:val="false"/>
          <w:sz w:val="24"/>
          <w:shd w:fill="auto" w:val="clear"/>
        </w:rPr>
        <w:t xml:space="preserve">временных работах участвовало 1,1 тыс. человек, в их числе 84  незанятых </w:t>
      </w:r>
      <w:r>
        <w:rPr>
          <w:rFonts w:ascii="Times New Roman" w:hAnsi="Times New Roman"/>
          <w:shd w:fill="auto" w:val="clear"/>
        </w:rPr>
        <w:t xml:space="preserve">и безработных гражданина </w:t>
      </w:r>
      <w:r>
        <w:rPr>
          <w:rFonts w:cs="Arial" w:ascii="Times New Roman" w:hAnsi="Times New Roman"/>
          <w:i w:val="false"/>
          <w:iCs w:val="false"/>
          <w:sz w:val="24"/>
          <w:shd w:fill="auto" w:val="clear"/>
        </w:rPr>
        <w:t>-</w:t>
      </w:r>
      <w:r>
        <w:rPr>
          <w:rFonts w:ascii="Times New Roman" w:hAnsi="Times New Roman"/>
          <w:shd w:fill="auto" w:val="clear"/>
        </w:rPr>
        <w:t xml:space="preserve"> в общественных работах, 981 подросток в возрасте от 14 до 18 лет - в свободное от учебы время, 61 - безработные и ищущие работу граждане, испытывающие трудности в поиске работы.</w:t>
      </w:r>
    </w:p>
    <w:p>
      <w:pPr>
        <w:pStyle w:val="Normal"/>
        <w:widowControl w:val="false"/>
        <w:spacing w:lineRule="auto" w:line="276" w:before="0" w:after="0"/>
        <w:ind w:firstLine="397" w:left="0" w:right="0"/>
        <w:jc w:val="both"/>
        <w:rPr>
          <w:highlight w:val="none"/>
          <w:shd w:fill="auto" w:val="clear"/>
        </w:rPr>
      </w:pPr>
      <w:r>
        <w:rPr>
          <w:rFonts w:cs="Arial" w:ascii="Times New Roman" w:hAnsi="Times New Roman"/>
          <w:i w:val="false"/>
          <w:iCs w:val="false"/>
          <w:sz w:val="24"/>
          <w:shd w:fill="auto" w:val="clear"/>
        </w:rPr>
        <w:t xml:space="preserve">При содействии службы занятости трудоустроено 178 граждан с ограниченными физическими возможностями,  в том числе 26 человек – на субсидированные рабочие места, 15 человек – в счет квот. </w:t>
      </w:r>
    </w:p>
    <w:p>
      <w:pPr>
        <w:pStyle w:val="Normal"/>
        <w:widowControl w:val="false"/>
        <w:spacing w:lineRule="auto" w:line="276" w:before="0" w:after="0"/>
        <w:ind w:firstLine="397" w:left="0" w:right="0"/>
        <w:jc w:val="both"/>
        <w:rPr>
          <w:highlight w:val="none"/>
          <w:shd w:fill="auto" w:val="clear"/>
        </w:rPr>
      </w:pPr>
      <w:r>
        <w:rPr>
          <w:rFonts w:cs="Arial" w:ascii="Times New Roman" w:hAnsi="Times New Roman"/>
          <w:i w:val="false"/>
          <w:iCs w:val="false"/>
          <w:sz w:val="24"/>
          <w:shd w:fill="auto" w:val="clear"/>
        </w:rPr>
        <w:t>С целью получения опыта работы трудоустроен 31 выпускник образовательных организаций, из них 16 - из числа отдельных категорий молодежи на квотированные рабочие места.</w:t>
      </w:r>
    </w:p>
    <w:p>
      <w:pPr>
        <w:pStyle w:val="Normal"/>
        <w:widowControl w:val="false"/>
        <w:spacing w:lineRule="auto" w:line="276" w:before="0" w:after="0"/>
        <w:ind w:firstLine="397" w:left="0" w:right="0"/>
        <w:jc w:val="both"/>
        <w:rPr>
          <w:highlight w:val="none"/>
          <w:shd w:fill="auto" w:val="clear"/>
        </w:rPr>
      </w:pPr>
      <w:r>
        <w:rPr>
          <w:rFonts w:cs="Arial" w:ascii="Times New Roman" w:hAnsi="Times New Roman"/>
          <w:i w:val="false"/>
          <w:iCs w:val="false"/>
          <w:sz w:val="24"/>
          <w:shd w:fill="auto" w:val="clear"/>
        </w:rPr>
        <w:t>В январе-апереле 2024 года услуги по содействию началу осуществления предпринимательской деятельности получили 205 безработных граждан, в клубах «Введение в предпринимательскую деятельность» и на семинарах прошли обучение 105 человек, из них создали собственное дело или стали самозанятыми 20 человек, воспользовавшись мерами поддержки.</w:t>
      </w:r>
    </w:p>
    <w:p>
      <w:pPr>
        <w:pStyle w:val="Normal"/>
        <w:widowControl w:val="false"/>
        <w:spacing w:lineRule="auto" w:line="276" w:before="0" w:after="0"/>
        <w:ind w:firstLine="397" w:left="0" w:right="0"/>
        <w:jc w:val="both"/>
        <w:rPr>
          <w:highlight w:val="none"/>
          <w:shd w:fill="auto" w:val="clear"/>
        </w:rPr>
      </w:pPr>
      <w:r>
        <w:rPr>
          <w:rFonts w:cs="Arial" w:ascii="Times New Roman" w:hAnsi="Times New Roman"/>
          <w:i w:val="false"/>
          <w:iCs w:val="false"/>
          <w:sz w:val="24"/>
          <w:shd w:fill="auto" w:val="clear"/>
        </w:rPr>
        <w:t>В январе-апреле 2024 года на профессиональное обучение и дополнительное профессиональное образование направлено 273 человека, среди них 183 безработных, 15 женщин, 32 пенсионера, 6 участников подпрограммы переселения, 12 участников СВО и члены их семей, 20 ищущих работу граждан и 5 незанятых граждан, освобожденных из учреждений, исполняющих наказания в виде лишения свободы.</w:t>
      </w:r>
    </w:p>
    <w:p>
      <w:pPr>
        <w:pStyle w:val="Normal"/>
        <w:widowControl w:val="false"/>
        <w:spacing w:lineRule="auto" w:line="276" w:before="0" w:after="0"/>
        <w:ind w:firstLine="397" w:left="0" w:right="0"/>
        <w:jc w:val="both"/>
        <w:rPr>
          <w:highlight w:val="none"/>
          <w:shd w:fill="auto" w:val="clear"/>
        </w:rPr>
      </w:pPr>
      <w:r>
        <w:rPr>
          <w:rFonts w:cs="Arial" w:ascii="Times New Roman" w:hAnsi="Times New Roman"/>
          <w:b w:val="false"/>
          <w:bCs w:val="false"/>
          <w:i w:val="false"/>
          <w:iCs w:val="false"/>
          <w:sz w:val="24"/>
          <w:shd w:fill="auto" w:val="clear"/>
        </w:rPr>
        <w:t>Кроме того, в рамках реализации федерального проекта «Содействие занятости» национального проекта «Демография» подано 76 заявок от граждан на профессиональное обучение и дополнительное профессиональное образование. Принято решение о прохождении профессионального обучения 29 гражданами.</w:t>
      </w:r>
    </w:p>
    <w:p>
      <w:pPr>
        <w:pStyle w:val="Normal"/>
        <w:widowControl w:val="false"/>
        <w:spacing w:lineRule="auto" w:line="276" w:before="0" w:after="0"/>
        <w:ind w:firstLine="397" w:left="0" w:right="0"/>
        <w:jc w:val="both"/>
        <w:rPr>
          <w:highlight w:val="none"/>
          <w:shd w:fill="auto" w:val="clear"/>
        </w:rPr>
      </w:pPr>
      <w:r>
        <w:rPr>
          <w:rFonts w:cs="Arial" w:ascii="Times New Roman" w:hAnsi="Times New Roman"/>
          <w:b w:val="false"/>
          <w:bCs w:val="false"/>
          <w:i w:val="false"/>
          <w:iCs w:val="false"/>
          <w:sz w:val="24"/>
          <w:shd w:fill="auto" w:val="clear"/>
        </w:rPr>
        <w:t>Государственные услуги по профессиональной ориентации получили 2837 безработных, незанятых граждан и учащихся образовательных организаций.</w:t>
      </w:r>
      <w:r>
        <w:rPr>
          <w:rFonts w:cs="Arial" w:ascii="Times New Roman" w:hAnsi="Times New Roman"/>
          <w:i w:val="false"/>
          <w:iCs/>
          <w:sz w:val="24"/>
          <w:shd w:fill="auto" w:val="clear"/>
        </w:rPr>
        <w:t xml:space="preserve"> </w:t>
      </w:r>
    </w:p>
    <w:p>
      <w:pPr>
        <w:pStyle w:val="Normal"/>
        <w:widowControl w:val="false"/>
        <w:spacing w:lineRule="auto" w:line="276" w:before="0" w:after="0"/>
        <w:ind w:firstLine="397" w:left="0" w:right="0"/>
        <w:jc w:val="both"/>
        <w:rPr>
          <w:highlight w:val="none"/>
          <w:shd w:fill="auto" w:val="clear"/>
        </w:rPr>
      </w:pPr>
      <w:r>
        <w:rPr>
          <w:rFonts w:cs="Arial" w:ascii="Times New Roman" w:hAnsi="Times New Roman"/>
          <w:i w:val="false"/>
          <w:iCs/>
          <w:sz w:val="24"/>
          <w:shd w:fill="auto" w:val="clear"/>
        </w:rPr>
        <w:t>Психологическую поддержку и социальную адаптацию получили 469 безработных и ищущих работу граждан.</w:t>
      </w:r>
    </w:p>
    <w:p>
      <w:pPr>
        <w:pStyle w:val="Normal"/>
        <w:widowControl w:val="false"/>
        <w:spacing w:lineRule="auto" w:line="276"/>
        <w:ind w:firstLine="425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4"/>
          <w:shd w:fill="auto" w:val="clear"/>
        </w:rPr>
        <w:t>Уровень регистрируемой безработицы (к численности рабочей силы) на 1 мая 2024 года составил 0,4% (по России – 0,5%, по ДФО – 0,5%).</w:t>
      </w:r>
    </w:p>
    <w:p>
      <w:pPr>
        <w:pStyle w:val="Normal"/>
        <w:widowControl w:val="false"/>
        <w:suppressAutoHyphens w:val="true"/>
        <w:bidi w:val="0"/>
        <w:spacing w:lineRule="auto" w:line="276" w:before="0" w:after="0"/>
        <w:ind w:firstLine="454" w:left="0" w:right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hd w:fill="auto" w:val="clear"/>
        </w:rPr>
        <w:t xml:space="preserve">Значение данного показателя варьируется от 0,1% (г. Южно-Сахалинск, Долинский ГО, Курильский ГО,  Южно-Курильский ГО) до 1,8% (Макаровский </w:t>
      </w:r>
      <w:r>
        <w:rPr>
          <w:rFonts w:ascii="Times New Roman" w:hAnsi="Times New Roman"/>
          <w:shd w:fill="auto" w:val="clear"/>
        </w:rPr>
        <w:t>ГО</w:t>
      </w:r>
      <w:r>
        <w:rPr>
          <w:rFonts w:ascii="Times New Roman" w:hAnsi="Times New Roman"/>
          <w:shd w:fill="auto" w:val="clear"/>
        </w:rPr>
        <w:t>). Уровень регистрируемой безработицы ниже 1% в 13 муниципальных образованиях.</w:t>
      </w:r>
    </w:p>
    <w:p>
      <w:pPr>
        <w:pStyle w:val="Normal"/>
        <w:keepNext w:val="true"/>
        <w:numPr>
          <w:ilvl w:val="0"/>
          <w:numId w:val="0"/>
        </w:numPr>
        <w:spacing w:lineRule="auto" w:line="276" w:before="0" w:after="0"/>
        <w:ind w:firstLine="567" w:left="0"/>
        <w:jc w:val="center"/>
        <w:outlineLvl w:val="2"/>
        <w:rPr>
          <w:sz w:val="19"/>
          <w:szCs w:val="19"/>
        </w:rPr>
      </w:pPr>
      <w:r>
        <w:rPr>
          <w:rFonts w:ascii="Arial" w:hAnsi="Arial"/>
          <w:b/>
          <w:i/>
          <w:smallCaps/>
          <w:sz w:val="19"/>
          <w:szCs w:val="19"/>
          <w:shd w:fill="auto" w:val="clear"/>
        </w:rPr>
        <w:t>УРОВЕНЬ РЕГИСТРИРУЕМОЙ БЕЗРАБОТИЦЫ</w:t>
      </w:r>
    </w:p>
    <w:p>
      <w:pPr>
        <w:pStyle w:val="Normal"/>
        <w:keepNext w:val="true"/>
        <w:numPr>
          <w:ilvl w:val="0"/>
          <w:numId w:val="0"/>
        </w:numPr>
        <w:spacing w:lineRule="auto" w:line="276" w:before="0" w:after="0"/>
        <w:ind w:firstLine="567" w:left="0"/>
        <w:jc w:val="center"/>
        <w:outlineLvl w:val="2"/>
        <w:rPr>
          <w:sz w:val="19"/>
          <w:szCs w:val="19"/>
        </w:rPr>
      </w:pPr>
      <w:r>
        <w:rPr>
          <w:rFonts w:ascii="Arial" w:hAnsi="Arial"/>
          <w:b/>
          <w:i/>
          <w:smallCaps/>
          <w:sz w:val="19"/>
          <w:szCs w:val="19"/>
          <w:shd w:fill="auto" w:val="clear"/>
        </w:rPr>
        <w:t xml:space="preserve"> </w:t>
      </w:r>
      <w:r>
        <w:rPr>
          <w:rFonts w:ascii="Arial" w:hAnsi="Arial"/>
          <w:b/>
          <w:i/>
          <w:smallCaps/>
          <w:sz w:val="19"/>
          <w:szCs w:val="19"/>
          <w:shd w:fill="auto" w:val="clear"/>
        </w:rPr>
        <w:t>В РАЗРЕЗЕ МУНИЦИПАЛЬНЫХ ОБРАЗОВАНИЙ</w:t>
      </w:r>
    </w:p>
    <w:p>
      <w:pPr>
        <w:pStyle w:val="Normal"/>
        <w:spacing w:lineRule="auto" w:line="276" w:before="0" w:after="0"/>
        <w:jc w:val="center"/>
        <w:rPr/>
      </w:pPr>
      <w:r>
        <w:rPr>
          <w:rFonts w:ascii="Bookman Old Style" w:hAnsi="Bookman Old Style"/>
          <w:i/>
          <w:sz w:val="20"/>
          <w:szCs w:val="16"/>
          <w:shd w:fill="auto" w:val="clear"/>
        </w:rPr>
        <w:t xml:space="preserve">          </w:t>
      </w:r>
      <w:r>
        <w:rPr>
          <w:rFonts w:ascii="Bookman Old Style" w:hAnsi="Bookman Old Style"/>
          <w:i/>
          <w:sz w:val="20"/>
          <w:szCs w:val="16"/>
          <w:shd w:fill="auto" w:val="clear"/>
        </w:rPr>
        <w:t>(по состоянию на 01 мая 2024 года)</w:t>
      </w:r>
    </w:p>
    <w:p>
      <w:pPr>
        <w:pStyle w:val="Normal"/>
        <w:spacing w:lineRule="auto" w:line="276" w:before="0" w:after="0"/>
        <w:jc w:val="center"/>
        <w:rPr>
          <w:highlight w:val="none"/>
          <w:shd w:fill="auto" w:val="clear"/>
        </w:rPr>
      </w:pPr>
      <w:r>
        <w:rPr/>
        <w:drawing>
          <wp:inline distT="0" distB="0" distL="0" distR="0">
            <wp:extent cx="4761865" cy="2505710"/>
            <wp:effectExtent l="0" t="0" r="0" b="0"/>
            <wp:docPr id="2" name="Объект1" descr="диаграмма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"/>
              </a:graphicData>
            </a:graphic>
          </wp:inline>
        </w:drawing>
      </w:r>
    </w:p>
    <w:p>
      <w:pPr>
        <w:pStyle w:val="BodyTextIndent2"/>
        <w:widowControl w:val="false"/>
        <w:spacing w:lineRule="auto" w:line="276" w:before="0" w:after="0"/>
        <w:ind w:firstLine="425"/>
        <w:rPr>
          <w:highlight w:val="none"/>
          <w:shd w:fill="auto" w:val="clear"/>
        </w:rPr>
      </w:pPr>
      <w:r>
        <w:rPr>
          <w:rFonts w:cs="Arial" w:ascii="Times New Roman" w:hAnsi="Times New Roman"/>
          <w:sz w:val="24"/>
          <w:shd w:fill="auto" w:val="clear"/>
        </w:rPr>
        <w:t>В базе вакансий службы занятости на 1 мая 2024 года насчитывалось 9,5 тыс. свободных рабочих мест (на 01.05.2023 – 8,4 тыс.). В структуре вакансий преобладали рабочие профессии – 68,9%.</w:t>
      </w:r>
    </w:p>
    <w:p>
      <w:pPr>
        <w:pStyle w:val="BodyTextIndent2"/>
        <w:widowControl w:val="false"/>
        <w:spacing w:lineRule="auto" w:line="276"/>
        <w:ind w:firstLine="425"/>
        <w:rPr>
          <w:highlight w:val="none"/>
          <w:shd w:fill="auto" w:val="clear"/>
        </w:rPr>
      </w:pPr>
      <w:r>
        <w:rPr>
          <w:rFonts w:cs="Arial" w:ascii="Times New Roman" w:hAnsi="Times New Roman"/>
          <w:sz w:val="24"/>
          <w:shd w:fill="auto" w:val="clear"/>
        </w:rPr>
        <w:t>Коэффициент напряженности (численность незанятых граждан в расчёте на одну вакансию) в среднем по области составил 0,2 (на 1 соискателя приходится более 5 вакансий). Вместе с тем в Макаровском городском округе на одно вакантное место претендовали более 2-х незанятых граждан.</w:t>
      </w:r>
      <w:r>
        <w:rPr>
          <w:rFonts w:cs="Arial" w:ascii="Times New Roman" w:hAnsi="Times New Roman"/>
          <w:i w:val="false"/>
          <w:iCs w:val="false"/>
          <w:sz w:val="24"/>
          <w:shd w:fill="auto" w:val="clear"/>
        </w:rPr>
        <w:t xml:space="preserve"> </w:t>
      </w:r>
    </w:p>
    <w:p>
      <w:pPr>
        <w:pStyle w:val="BodyTextIndent2"/>
        <w:widowControl w:val="false"/>
        <w:spacing w:lineRule="auto" w:line="276"/>
        <w:ind w:firstLine="425"/>
        <w:rPr>
          <w:highlight w:val="none"/>
          <w:shd w:fill="auto" w:val="clear"/>
        </w:rPr>
      </w:pPr>
      <w:r>
        <w:rPr>
          <w:rFonts w:cs="Arial" w:ascii="Times New Roman" w:hAnsi="Times New Roman"/>
          <w:i w:val="false"/>
          <w:iCs w:val="false"/>
          <w:sz w:val="24"/>
          <w:shd w:fill="auto" w:val="clear"/>
        </w:rPr>
        <w:t>С начала года при содействии службы занятости с использованием мероприятий активной политики трудоустроено 2,5 тыс. человек. Уровень трудоустройства в среднем по области составил 58%.</w:t>
      </w:r>
    </w:p>
    <w:p>
      <w:pPr>
        <w:pStyle w:val="BodyTextIndent2"/>
        <w:widowControl w:val="false"/>
        <w:spacing w:lineRule="auto" w:line="276"/>
        <w:ind w:firstLine="425"/>
        <w:rPr>
          <w:highlight w:val="none"/>
          <w:shd w:fill="auto" w:val="clear"/>
        </w:rPr>
      </w:pPr>
      <w:r>
        <w:rPr>
          <w:rFonts w:cs="Arial" w:ascii="Times New Roman" w:hAnsi="Times New Roman"/>
          <w:i w:val="false"/>
          <w:iCs w:val="false"/>
          <w:sz w:val="24"/>
          <w:shd w:fill="auto" w:val="clear"/>
        </w:rPr>
        <w:t xml:space="preserve">В январе-апреле 2024 года с работодателями заключено 162 договора для организации временных форм занятости на 2,4 тыс. рабочих мест. Во </w:t>
      </w:r>
    </w:p>
    <w:sectPr>
      <w:headerReference w:type="even" r:id="rId4"/>
      <w:headerReference w:type="default" r:id="rId5"/>
      <w:type w:val="continuous"/>
      <w:pgSz w:orient="landscape" w:w="16838" w:h="11906"/>
      <w:pgMar w:left="567" w:right="567" w:gutter="0" w:header="397" w:top="681" w:footer="0" w:bottom="284"/>
      <w:cols w:num="2" w:equalWidth="false" w:sep="false">
        <w:col w:w="7631" w:space="380"/>
        <w:col w:w="7692"/>
      </w:cols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Arial">
    <w:charset w:val="01"/>
    <w:family w:val="roman"/>
    <w:pitch w:val="variable"/>
  </w:font>
  <w:font w:name="Open Sans">
    <w:charset w:val="01"/>
    <w:family w:val="roman"/>
    <w:pitch w:val="variable"/>
  </w:font>
  <w:font w:name="Times New Roman">
    <w:charset w:val="01"/>
    <w:family w:val="roman"/>
    <w:pitch w:val="variable"/>
  </w:font>
  <w:font w:name="Bookman Old Style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left"/>
      <w:rPr>
        <w:sz w:val="16"/>
        <w:szCs w:val="24"/>
      </w:rPr>
    </w:pPr>
    <w:r>
      <w:rPr>
        <w:sz w:val="16"/>
        <w:szCs w:val="24"/>
      </w:rPr>
      <w:t xml:space="preserve">                                                                                              </w:t>
    </w:r>
    <w:r>
      <w:rPr>
        <w:sz w:val="16"/>
        <w:szCs w:val="24"/>
      </w:rPr>
      <w:t>6</w:t>
      <w:tab/>
      <w:tab/>
      <w:tab/>
      <w:tab/>
      <w:tab/>
      <w:tab/>
      <w:t xml:space="preserve">3    </w:t>
      <w:tab/>
      <w:tab/>
      <w:tab/>
      <w:tab/>
      <w:tab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left"/>
      <w:rPr>
        <w:sz w:val="16"/>
        <w:szCs w:val="24"/>
      </w:rPr>
    </w:pPr>
    <w:r>
      <w:rPr>
        <w:sz w:val="16"/>
        <w:szCs w:val="24"/>
      </w:rPr>
      <w:t xml:space="preserve">                                                                                              </w:t>
    </w:r>
    <w:r>
      <w:rPr>
        <w:sz w:val="16"/>
        <w:szCs w:val="24"/>
      </w:rPr>
      <w:t xml:space="preserve">2    </w:t>
      <w:tab/>
      <w:tab/>
      <w:tab/>
      <w:tab/>
      <w:tab/>
      <w:tab/>
      <w:t>7</w:t>
    </w:r>
  </w:p>
</w:hdr>
</file>

<file path=word/settings.xml><?xml version="1.0" encoding="utf-8"?>
<w:settings xmlns:w="http://schemas.openxmlformats.org/wordprocessingml/2006/main">
  <w:zoom w:percent="120"/>
  <w:defaultTabStop w:val="709"/>
  <w:autoHyphenation w:val="true"/>
  <w:evenAndOddHeaders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empora LGC Uni" w:hAnsi="Tempora LGC Uni" w:eastAsia="Tahoma" w:cs="Lohit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empora LGC Uni" w:hAnsi="Tempora LGC Uni" w:eastAsia="Tahoma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8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empora LGC Uni" w:hAnsi="Tempora LGC Uni" w:eastAsia="Tahoma" w:cs="Lohit Devanagari"/>
      <w:color w:val="auto"/>
      <w:kern w:val="0"/>
      <w:sz w:val="24"/>
      <w:szCs w:val="24"/>
      <w:lang w:val="ru-RU" w:eastAsia="zh-CN" w:bidi="hi-IN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9">
    <w:name w:val="Колонтитул"/>
    <w:basedOn w:val="Normal"/>
    <w:qFormat/>
    <w:pPr/>
    <w:rPr/>
  </w:style>
  <w:style w:type="paragraph" w:styleId="Footer">
    <w:name w:val="Footer"/>
    <w:basedOn w:val="Normal"/>
    <w:uiPriority w:val="99"/>
    <w:unhideWhenUsed/>
    <w:pPr>
      <w:tabs>
        <w:tab w:val="clear" w:pos="709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7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empora LGC Uni" w:hAnsi="Tempora LGC Uni" w:eastAsia="Tahoma" w:cs="Lohit Devanagari"/>
      <w:color w:val="auto"/>
      <w:kern w:val="0"/>
      <w:sz w:val="24"/>
      <w:szCs w:val="24"/>
      <w:lang w:val="ru-RU" w:eastAsia="zh-CN" w:bidi="hi-IN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BodyTextIndent">
    <w:name w:val="Body Text Indent"/>
    <w:basedOn w:val="Normal"/>
    <w:pPr>
      <w:ind w:firstLine="540"/>
      <w:jc w:val="both"/>
    </w:pPr>
    <w:rPr>
      <w:sz w:val="25"/>
    </w:rPr>
  </w:style>
  <w:style w:type="paragraph" w:styleId="BodyTextIndent2">
    <w:name w:val="Body Text Indent 2"/>
    <w:basedOn w:val="Normal"/>
    <w:qFormat/>
    <w:pPr>
      <w:ind w:firstLine="540"/>
      <w:jc w:val="both"/>
    </w:pPr>
    <w:rPr>
      <w:iCs/>
    </w:rPr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chart" Target="charts/chart1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roundedCorners val="0"/>
  <c:chart>
    <c:autoTitleDeleted val="1"/>
    <c:plotArea>
      <c:layout>
        <c:manualLayout>
          <c:layoutTarget val="inner"/>
          <c:xMode val="edge"/>
          <c:yMode val="edge"/>
          <c:x val="0.4824375"/>
          <c:y val="0.0193333333333333"/>
          <c:w val="0.4678125"/>
          <c:h val="0.84377777777777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Ряд1</c:v>
                </c:pt>
              </c:strCache>
            </c:strRef>
          </c:tx>
          <c:spPr>
            <a:solidFill>
              <a:srgbClr val="4f81bd"/>
            </a:solidFill>
            <a:ln w="25560">
              <a:noFill/>
            </a:ln>
          </c:spPr>
          <c:invertIfNegative val="0"/>
          <c:dLbls>
            <c:numFmt formatCode="0.0" sourceLinked="0"/>
            <c:txPr>
              <a:bodyPr wrap="square"/>
              <a:lstStyle/>
              <a:p>
                <a:pPr>
                  <a:defRPr b="0" sz="900" spc="-1" strike="noStrike">
                    <a:solidFill>
                      <a:srgbClr val="333333"/>
                    </a:solidFill>
                    <a:latin typeface="Calibri"/>
                    <a:ea typeface="Calibri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18"/>
                <c:pt idx="0">
                  <c:v>МО "Макаровский городской округ"</c:v>
                </c:pt>
                <c:pt idx="1">
                  <c:v>МО ГО "Смирныховский"</c:v>
                </c:pt>
                <c:pt idx="2">
                  <c:v>МО ГО "Александровск-Сахалинский район"</c:v>
                </c:pt>
                <c:pt idx="3">
                  <c:v>МО Поронайский городской округ</c:v>
                </c:pt>
                <c:pt idx="4">
                  <c:v>МО "Томаринский городской округ"</c:v>
                </c:pt>
                <c:pt idx="5">
                  <c:v>МО Северо-Курильский городской округ</c:v>
                </c:pt>
                <c:pt idx="6">
                  <c:v>МО "Тымовский городской округ"</c:v>
                </c:pt>
                <c:pt idx="7">
                  <c:v>МО "Невельский городской округ"</c:v>
                </c:pt>
                <c:pt idx="8">
                  <c:v>МО ГО "Охинский"</c:v>
                </c:pt>
                <c:pt idx="9">
                  <c:v>МО Углегорский городской округ</c:v>
                </c:pt>
                <c:pt idx="10">
                  <c:v>МО "Холмский городской округ"</c:v>
                </c:pt>
                <c:pt idx="11">
                  <c:v>МО "Анивский городской округ"</c:v>
                </c:pt>
                <c:pt idx="12">
                  <c:v>МО Корсаковский городской округ</c:v>
                </c:pt>
                <c:pt idx="13">
                  <c:v>МО "Городской округ Ногликский"</c:v>
                </c:pt>
                <c:pt idx="14">
                  <c:v>МО ГО "Город Южно-Сахалинск"</c:v>
                </c:pt>
                <c:pt idx="15">
                  <c:v>МО ГО "Долинский"</c:v>
                </c:pt>
                <c:pt idx="16">
                  <c:v>МО "Курильский городской округ"</c:v>
                </c:pt>
                <c:pt idx="17">
                  <c:v>МО "Южно-Курильский городской округ"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18"/>
                <c:pt idx="0">
                  <c:v>1.8</c:v>
                </c:pt>
                <c:pt idx="1">
                  <c:v>1.4</c:v>
                </c:pt>
                <c:pt idx="2">
                  <c:v>1.3</c:v>
                </c:pt>
                <c:pt idx="3">
                  <c:v>1.2</c:v>
                </c:pt>
                <c:pt idx="4">
                  <c:v>1</c:v>
                </c:pt>
                <c:pt idx="5">
                  <c:v>0.6</c:v>
                </c:pt>
                <c:pt idx="6">
                  <c:v>0.6</c:v>
                </c:pt>
                <c:pt idx="7">
                  <c:v>0.5</c:v>
                </c:pt>
                <c:pt idx="8">
                  <c:v>0.5</c:v>
                </c:pt>
                <c:pt idx="9">
                  <c:v>0.4</c:v>
                </c:pt>
                <c:pt idx="10">
                  <c:v>0.4</c:v>
                </c:pt>
                <c:pt idx="11">
                  <c:v>0.3</c:v>
                </c:pt>
                <c:pt idx="12">
                  <c:v>0.3</c:v>
                </c:pt>
                <c:pt idx="13">
                  <c:v>0.3</c:v>
                </c:pt>
                <c:pt idx="14">
                  <c:v>0.1</c:v>
                </c:pt>
                <c:pt idx="15">
                  <c:v>0.1</c:v>
                </c:pt>
                <c:pt idx="16">
                  <c:v>0.1</c:v>
                </c:pt>
                <c:pt idx="17">
                  <c:v>0.1</c:v>
                </c:pt>
              </c:numCache>
            </c:numRef>
          </c:val>
        </c:ser>
        <c:gapWidth val="182"/>
        <c:overlap val="0"/>
        <c:axId val="5882907"/>
        <c:axId val="88725745"/>
      </c:barChart>
      <c:catAx>
        <c:axId val="5882907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ln w="9360">
            <a:solidFill>
              <a:srgbClr val="d9d9d9"/>
            </a:solidFill>
            <a:round/>
          </a:ln>
        </c:spPr>
        <c:txPr>
          <a:bodyPr/>
          <a:lstStyle/>
          <a:p>
            <a:pPr>
              <a:defRPr b="0" sz="900" spc="-1" strike="noStrike">
                <a:solidFill>
                  <a:srgbClr val="333333"/>
                </a:solidFill>
                <a:latin typeface="Calibri"/>
                <a:ea typeface="Calibri"/>
              </a:defRPr>
            </a:pPr>
          </a:p>
        </c:txPr>
        <c:crossAx val="88725745"/>
        <c:crosses val="autoZero"/>
        <c:auto val="1"/>
        <c:lblAlgn val="ctr"/>
        <c:lblOffset val="100"/>
        <c:noMultiLvlLbl val="0"/>
      </c:catAx>
      <c:valAx>
        <c:axId val="88725745"/>
        <c:scaling>
          <c:orientation val="minMax"/>
          <c:max val="2"/>
          <c:min val="0"/>
        </c:scaling>
        <c:delete val="0"/>
        <c:axPos val="l"/>
        <c:title>
          <c:tx>
            <c:rich>
              <a:bodyPr rot="0"/>
              <a:lstStyle/>
              <a:p>
                <a:pPr>
                  <a:defRPr b="0" lang="ru-RU" sz="800" spc="-1" strike="noStrike">
                    <a:solidFill>
                      <a:srgbClr val="333333"/>
                    </a:solidFill>
                    <a:latin typeface="Calibri"/>
                    <a:ea typeface="Calibri"/>
                  </a:defRPr>
                </a:pPr>
                <a:r>
                  <a:rPr b="0" lang="ru-RU" sz="800" spc="-1" strike="noStrike">
                    <a:solidFill>
                      <a:srgbClr val="333333"/>
                    </a:solidFill>
                    <a:latin typeface="Calibri"/>
                    <a:ea typeface="Calibri"/>
                  </a:rPr>
                  <a:t>проценты</a:t>
                </a:r>
              </a:p>
            </c:rich>
          </c:tx>
          <c:layout>
            <c:manualLayout>
              <c:xMode val="edge"/>
              <c:yMode val="edge"/>
              <c:x val="0.659862402661223"/>
              <c:y val="0.934051724137931"/>
            </c:manualLayout>
          </c:layout>
          <c:overlay val="0"/>
          <c:spPr>
            <a:noFill/>
            <a:ln w="25560">
              <a:noFill/>
            </a:ln>
          </c:spPr>
        </c:title>
        <c:numFmt formatCode="0.0" sourceLinked="0"/>
        <c:majorTickMark val="none"/>
        <c:minorTickMark val="none"/>
        <c:tickLblPos val="nextTo"/>
        <c:spPr>
          <a:ln w="9360">
            <a:noFill/>
          </a:ln>
        </c:spPr>
        <c:txPr>
          <a:bodyPr/>
          <a:lstStyle/>
          <a:p>
            <a:pPr>
              <a:defRPr b="0" sz="900" spc="-1" strike="noStrike">
                <a:solidFill>
                  <a:srgbClr val="333333"/>
                </a:solidFill>
                <a:latin typeface="Calibri"/>
                <a:ea typeface="Calibri"/>
              </a:defRPr>
            </a:pPr>
          </a:p>
        </c:txPr>
        <c:crossAx val="5882907"/>
        <c:crossesAt val="1"/>
        <c:crossBetween val="between"/>
      </c:valAx>
      <c:spPr>
        <a:noFill/>
        <a:ln w="25560">
          <a:noFill/>
        </a:ln>
      </c:spPr>
    </c:plotArea>
    <c:plotVisOnly val="1"/>
    <c:dispBlanksAs val="gap"/>
  </c:chart>
  <c:spPr>
    <a:solidFill>
      <a:srgbClr val="ffffff"/>
    </a:solidFill>
    <a:ln w="9360">
      <a:noFill/>
    </a:ln>
  </c:spPr>
</c:chartSpace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663</TotalTime>
  <Application>LibreOffice/7.6.0.3$Linux_X86_64 LibreOffice_project/60$Build-3</Application>
  <AppVersion>15.0000</AppVersion>
  <Pages>2</Pages>
  <Words>807</Words>
  <Characters>5218</Characters>
  <CharactersWithSpaces>6283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2024-02-20T16:26:49Z</dcterms:created>
  <dc:creator/>
  <dc:description/>
  <dc:language>ru-RU</dc:language>
  <cp:lastModifiedBy/>
  <cp:lastPrinted>2024-05-23T16:51:45Z</cp:lastPrinted>
  <dcterms:modified xsi:type="dcterms:W3CDTF">2024-05-24T09:00:27Z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